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16F" w:rsidRDefault="007D216F">
      <w:pPr>
        <w:pStyle w:val="BodyText"/>
        <w:spacing w:before="1"/>
        <w:rPr>
          <w:rFonts w:ascii="Times New Roman"/>
          <w:b w:val="0"/>
          <w:sz w:val="20"/>
        </w:rPr>
      </w:pPr>
    </w:p>
    <w:p w:rsidR="007D216F" w:rsidRDefault="001059E0">
      <w:pPr>
        <w:pStyle w:val="BodyText"/>
        <w:spacing w:before="94" w:line="465" w:lineRule="auto"/>
        <w:ind w:left="108" w:right="6926"/>
        <w:jc w:val="both"/>
      </w:pPr>
      <w:r>
        <w:rPr>
          <w:noProof/>
          <w:lang w:val="en-GB" w:eastAsia="en-GB"/>
        </w:rPr>
        <w:drawing>
          <wp:anchor distT="0" distB="0" distL="0" distR="0" simplePos="0" relativeHeight="15729152" behindDoc="0" locked="0" layoutInCell="1" allowOverlap="1">
            <wp:simplePos x="0" y="0"/>
            <wp:positionH relativeFrom="page">
              <wp:posOffset>5341483</wp:posOffset>
            </wp:positionH>
            <wp:positionV relativeFrom="paragraph">
              <wp:posOffset>-145577</wp:posOffset>
            </wp:positionV>
            <wp:extent cx="1888694" cy="6602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88694" cy="660230"/>
                    </a:xfrm>
                    <a:prstGeom prst="rect">
                      <a:avLst/>
                    </a:prstGeom>
                  </pic:spPr>
                </pic:pic>
              </a:graphicData>
            </a:graphic>
          </wp:anchor>
        </w:drawing>
      </w:r>
      <w:r>
        <w:t xml:space="preserve">North Yorkshire CCG Governing Body Decisions: </w:t>
      </w:r>
      <w:r w:rsidR="00094AA0">
        <w:t>25 February 2021</w:t>
      </w:r>
    </w:p>
    <w:p w:rsidR="007D216F" w:rsidRDefault="001059E0">
      <w:pPr>
        <w:pStyle w:val="BodyText"/>
        <w:spacing w:before="2" w:line="276" w:lineRule="auto"/>
        <w:ind w:left="108" w:right="137"/>
        <w:jc w:val="both"/>
      </w:pPr>
      <w:r>
        <w:t xml:space="preserve">NHS North Yorkshire CCG is committed to openness and transparency and ordinarily, Governing Body meetings are held in public. However, due to the ongoing situation with COVID-19 (coronavirus), NHS England has granted NHS </w:t>
      </w:r>
      <w:proofErr w:type="spellStart"/>
      <w:r>
        <w:t>organisations</w:t>
      </w:r>
      <w:proofErr w:type="spellEnd"/>
      <w:r>
        <w:t xml:space="preserve"> special dispensation </w:t>
      </w:r>
      <w:r>
        <w:t>not to hold meetings in public at this current time. NHS NY CCG is holding meetings using video conferencing facilities and is looking at ways for residents to have the opportunity to be involved in those meetings that are ordinarily held in public. In the</w:t>
      </w:r>
      <w:r>
        <w:t xml:space="preserve"> meantime, we are publishing all decisions within 24 hours of Governing Body meetings taking place. Full minutes will be published at the next Governing Body meeting. We appreciate people's patience and understanding at this difficult time. Please contact </w:t>
      </w:r>
      <w:r>
        <w:t xml:space="preserve">us if you have any queries or concerns via email to </w:t>
      </w:r>
      <w:hyperlink r:id="rId7">
        <w:r>
          <w:t xml:space="preserve">nyccg.enquiries@nhs.net </w:t>
        </w:r>
      </w:hyperlink>
      <w:r>
        <w:t>or telephone 01423 799300.</w:t>
      </w:r>
    </w:p>
    <w:p w:rsidR="007D216F" w:rsidRDefault="007D216F">
      <w:pPr>
        <w:spacing w:before="9"/>
        <w:rPr>
          <w:b/>
          <w:sz w:val="17"/>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154"/>
        <w:gridCol w:w="4961"/>
        <w:gridCol w:w="1984"/>
      </w:tblGrid>
      <w:tr w:rsidR="007D216F" w:rsidRPr="00094AA0">
        <w:trPr>
          <w:trHeight w:val="512"/>
        </w:trPr>
        <w:tc>
          <w:tcPr>
            <w:tcW w:w="674" w:type="dxa"/>
            <w:tcBorders>
              <w:bottom w:val="double" w:sz="1" w:space="0" w:color="000000"/>
            </w:tcBorders>
            <w:shd w:val="clear" w:color="auto" w:fill="DBE4F0"/>
          </w:tcPr>
          <w:p w:rsidR="007D216F" w:rsidRPr="00094AA0" w:rsidRDefault="001059E0">
            <w:pPr>
              <w:pStyle w:val="TableParagraph"/>
              <w:spacing w:line="252" w:lineRule="exact"/>
              <w:ind w:left="105" w:right="86"/>
              <w:rPr>
                <w:b/>
                <w:sz w:val="20"/>
                <w:szCs w:val="20"/>
              </w:rPr>
            </w:pPr>
            <w:r w:rsidRPr="00094AA0">
              <w:rPr>
                <w:b/>
                <w:sz w:val="20"/>
                <w:szCs w:val="20"/>
              </w:rPr>
              <w:t>Item No.</w:t>
            </w:r>
          </w:p>
        </w:tc>
        <w:tc>
          <w:tcPr>
            <w:tcW w:w="3154" w:type="dxa"/>
            <w:tcBorders>
              <w:bottom w:val="double" w:sz="1" w:space="0" w:color="000000"/>
            </w:tcBorders>
            <w:shd w:val="clear" w:color="auto" w:fill="DBE4F0"/>
          </w:tcPr>
          <w:p w:rsidR="007D216F" w:rsidRPr="00094AA0" w:rsidRDefault="001059E0">
            <w:pPr>
              <w:pStyle w:val="TableParagraph"/>
              <w:spacing w:line="248" w:lineRule="exact"/>
              <w:rPr>
                <w:b/>
                <w:sz w:val="20"/>
                <w:szCs w:val="20"/>
              </w:rPr>
            </w:pPr>
            <w:r w:rsidRPr="00094AA0">
              <w:rPr>
                <w:b/>
                <w:sz w:val="20"/>
                <w:szCs w:val="20"/>
              </w:rPr>
              <w:t>Item</w:t>
            </w:r>
          </w:p>
        </w:tc>
        <w:tc>
          <w:tcPr>
            <w:tcW w:w="4961" w:type="dxa"/>
            <w:tcBorders>
              <w:bottom w:val="double" w:sz="1" w:space="0" w:color="000000"/>
            </w:tcBorders>
            <w:shd w:val="clear" w:color="auto" w:fill="DBE4F0"/>
          </w:tcPr>
          <w:p w:rsidR="007D216F" w:rsidRPr="00094AA0" w:rsidRDefault="001059E0">
            <w:pPr>
              <w:pStyle w:val="TableParagraph"/>
              <w:spacing w:line="248" w:lineRule="exact"/>
              <w:ind w:left="106"/>
              <w:rPr>
                <w:b/>
                <w:sz w:val="20"/>
                <w:szCs w:val="20"/>
              </w:rPr>
            </w:pPr>
            <w:r w:rsidRPr="00094AA0">
              <w:rPr>
                <w:b/>
                <w:sz w:val="20"/>
                <w:szCs w:val="20"/>
              </w:rPr>
              <w:t>Recommendation</w:t>
            </w:r>
          </w:p>
        </w:tc>
        <w:tc>
          <w:tcPr>
            <w:tcW w:w="1984" w:type="dxa"/>
            <w:tcBorders>
              <w:bottom w:val="double" w:sz="1" w:space="0" w:color="000000"/>
            </w:tcBorders>
            <w:shd w:val="clear" w:color="auto" w:fill="DBE4F0"/>
          </w:tcPr>
          <w:p w:rsidR="007D216F" w:rsidRPr="00094AA0" w:rsidRDefault="001059E0">
            <w:pPr>
              <w:pStyle w:val="TableParagraph"/>
              <w:spacing w:line="252" w:lineRule="exact"/>
              <w:ind w:left="107" w:right="135"/>
              <w:rPr>
                <w:b/>
                <w:sz w:val="20"/>
                <w:szCs w:val="20"/>
              </w:rPr>
            </w:pPr>
            <w:r w:rsidRPr="00094AA0">
              <w:rPr>
                <w:b/>
                <w:sz w:val="20"/>
                <w:szCs w:val="20"/>
              </w:rPr>
              <w:t>Decision by Governing Body</w:t>
            </w:r>
          </w:p>
        </w:tc>
      </w:tr>
      <w:tr w:rsidR="007D216F" w:rsidRPr="00094AA0">
        <w:trPr>
          <w:trHeight w:val="471"/>
        </w:trPr>
        <w:tc>
          <w:tcPr>
            <w:tcW w:w="674" w:type="dxa"/>
            <w:tcBorders>
              <w:top w:val="double" w:sz="1" w:space="0" w:color="000000"/>
            </w:tcBorders>
          </w:tcPr>
          <w:p w:rsidR="007D216F" w:rsidRPr="00094AA0" w:rsidRDefault="001059E0">
            <w:pPr>
              <w:pStyle w:val="TableParagraph"/>
              <w:spacing w:before="1"/>
              <w:ind w:left="105"/>
              <w:rPr>
                <w:b/>
                <w:sz w:val="20"/>
                <w:szCs w:val="20"/>
              </w:rPr>
            </w:pPr>
            <w:r w:rsidRPr="00094AA0">
              <w:rPr>
                <w:b/>
                <w:sz w:val="20"/>
                <w:szCs w:val="20"/>
              </w:rPr>
              <w:t>3.1</w:t>
            </w:r>
          </w:p>
        </w:tc>
        <w:tc>
          <w:tcPr>
            <w:tcW w:w="3154" w:type="dxa"/>
            <w:tcBorders>
              <w:top w:val="double" w:sz="1" w:space="0" w:color="000000"/>
            </w:tcBorders>
          </w:tcPr>
          <w:p w:rsidR="007D216F" w:rsidRPr="00094AA0" w:rsidRDefault="001059E0" w:rsidP="00094AA0">
            <w:pPr>
              <w:pStyle w:val="TableParagraph"/>
              <w:spacing w:line="230" w:lineRule="atLeast"/>
              <w:ind w:right="492"/>
              <w:rPr>
                <w:b/>
                <w:sz w:val="20"/>
                <w:szCs w:val="20"/>
              </w:rPr>
            </w:pPr>
            <w:r w:rsidRPr="00094AA0">
              <w:rPr>
                <w:b/>
                <w:sz w:val="20"/>
                <w:szCs w:val="20"/>
              </w:rPr>
              <w:t xml:space="preserve">NY CCG Governing Body Minutes – </w:t>
            </w:r>
            <w:r w:rsidR="00094AA0" w:rsidRPr="00094AA0">
              <w:rPr>
                <w:b/>
                <w:sz w:val="20"/>
                <w:szCs w:val="20"/>
              </w:rPr>
              <w:t>22 December</w:t>
            </w:r>
            <w:r w:rsidRPr="00094AA0">
              <w:rPr>
                <w:b/>
                <w:sz w:val="20"/>
                <w:szCs w:val="20"/>
              </w:rPr>
              <w:t xml:space="preserve"> 2020</w:t>
            </w:r>
          </w:p>
        </w:tc>
        <w:tc>
          <w:tcPr>
            <w:tcW w:w="4961" w:type="dxa"/>
            <w:tcBorders>
              <w:top w:val="double" w:sz="1" w:space="0" w:color="000000"/>
            </w:tcBorders>
          </w:tcPr>
          <w:p w:rsidR="007D216F" w:rsidRPr="00094AA0" w:rsidRDefault="001059E0" w:rsidP="00094AA0">
            <w:pPr>
              <w:pStyle w:val="TableParagraph"/>
              <w:spacing w:before="4"/>
              <w:ind w:left="106"/>
              <w:rPr>
                <w:sz w:val="20"/>
                <w:szCs w:val="20"/>
              </w:rPr>
            </w:pPr>
            <w:r w:rsidRPr="00094AA0">
              <w:rPr>
                <w:sz w:val="20"/>
                <w:szCs w:val="20"/>
              </w:rPr>
              <w:t xml:space="preserve">To approve the minutes from </w:t>
            </w:r>
            <w:r w:rsidR="00094AA0" w:rsidRPr="00094AA0">
              <w:rPr>
                <w:sz w:val="20"/>
                <w:szCs w:val="20"/>
              </w:rPr>
              <w:t>22 December</w:t>
            </w:r>
            <w:r w:rsidRPr="00094AA0">
              <w:rPr>
                <w:sz w:val="20"/>
                <w:szCs w:val="20"/>
              </w:rPr>
              <w:t xml:space="preserve"> 2020.</w:t>
            </w:r>
          </w:p>
        </w:tc>
        <w:tc>
          <w:tcPr>
            <w:tcW w:w="1984" w:type="dxa"/>
            <w:tcBorders>
              <w:top w:val="double" w:sz="1" w:space="0" w:color="000000"/>
            </w:tcBorders>
          </w:tcPr>
          <w:p w:rsidR="007D216F" w:rsidRPr="00094AA0" w:rsidRDefault="001059E0">
            <w:pPr>
              <w:pStyle w:val="TableParagraph"/>
              <w:spacing w:before="4"/>
              <w:ind w:left="107"/>
              <w:rPr>
                <w:sz w:val="20"/>
                <w:szCs w:val="20"/>
              </w:rPr>
            </w:pPr>
            <w:r w:rsidRPr="00094AA0">
              <w:rPr>
                <w:sz w:val="20"/>
                <w:szCs w:val="20"/>
              </w:rPr>
              <w:t>Approved</w:t>
            </w:r>
          </w:p>
        </w:tc>
      </w:tr>
      <w:tr w:rsidR="007D216F" w:rsidRPr="00094AA0">
        <w:trPr>
          <w:trHeight w:val="691"/>
        </w:trPr>
        <w:tc>
          <w:tcPr>
            <w:tcW w:w="674" w:type="dxa"/>
          </w:tcPr>
          <w:p w:rsidR="007D216F" w:rsidRPr="00094AA0" w:rsidRDefault="001059E0">
            <w:pPr>
              <w:pStyle w:val="TableParagraph"/>
              <w:spacing w:line="225" w:lineRule="exact"/>
              <w:ind w:left="105"/>
              <w:rPr>
                <w:b/>
                <w:sz w:val="20"/>
                <w:szCs w:val="20"/>
              </w:rPr>
            </w:pPr>
            <w:r w:rsidRPr="00094AA0">
              <w:rPr>
                <w:b/>
                <w:sz w:val="20"/>
                <w:szCs w:val="20"/>
              </w:rPr>
              <w:t>3.2</w:t>
            </w:r>
          </w:p>
        </w:tc>
        <w:tc>
          <w:tcPr>
            <w:tcW w:w="3154" w:type="dxa"/>
          </w:tcPr>
          <w:p w:rsidR="007D216F" w:rsidRPr="00094AA0" w:rsidRDefault="001059E0">
            <w:pPr>
              <w:pStyle w:val="TableParagraph"/>
              <w:ind w:right="626"/>
              <w:rPr>
                <w:b/>
                <w:sz w:val="20"/>
                <w:szCs w:val="20"/>
              </w:rPr>
            </w:pPr>
            <w:r w:rsidRPr="00094AA0">
              <w:rPr>
                <w:b/>
                <w:sz w:val="20"/>
                <w:szCs w:val="20"/>
              </w:rPr>
              <w:t>NY CCG Governing Body Matters Arising –</w:t>
            </w:r>
          </w:p>
          <w:p w:rsidR="007D216F" w:rsidRPr="00094AA0" w:rsidRDefault="00094AA0">
            <w:pPr>
              <w:pStyle w:val="TableParagraph"/>
              <w:spacing w:line="215" w:lineRule="exact"/>
              <w:rPr>
                <w:b/>
                <w:sz w:val="20"/>
                <w:szCs w:val="20"/>
              </w:rPr>
            </w:pPr>
            <w:r w:rsidRPr="00094AA0">
              <w:rPr>
                <w:b/>
                <w:sz w:val="20"/>
                <w:szCs w:val="20"/>
              </w:rPr>
              <w:t>22 December</w:t>
            </w:r>
            <w:r w:rsidR="001059E0" w:rsidRPr="00094AA0">
              <w:rPr>
                <w:b/>
                <w:sz w:val="20"/>
                <w:szCs w:val="20"/>
              </w:rPr>
              <w:t xml:space="preserve"> 2020</w:t>
            </w:r>
          </w:p>
        </w:tc>
        <w:tc>
          <w:tcPr>
            <w:tcW w:w="4961" w:type="dxa"/>
          </w:tcPr>
          <w:p w:rsidR="007D216F" w:rsidRPr="00094AA0" w:rsidRDefault="001059E0" w:rsidP="00094AA0">
            <w:pPr>
              <w:pStyle w:val="TableParagraph"/>
              <w:spacing w:line="228" w:lineRule="exact"/>
              <w:ind w:left="106"/>
              <w:rPr>
                <w:sz w:val="20"/>
                <w:szCs w:val="20"/>
              </w:rPr>
            </w:pPr>
            <w:r w:rsidRPr="00094AA0">
              <w:rPr>
                <w:sz w:val="20"/>
                <w:szCs w:val="20"/>
              </w:rPr>
              <w:t xml:space="preserve">To accept the matters arising from </w:t>
            </w:r>
            <w:r w:rsidR="00094AA0" w:rsidRPr="00094AA0">
              <w:rPr>
                <w:sz w:val="20"/>
                <w:szCs w:val="20"/>
              </w:rPr>
              <w:t>22 December</w:t>
            </w:r>
            <w:r w:rsidRPr="00094AA0">
              <w:rPr>
                <w:sz w:val="20"/>
                <w:szCs w:val="20"/>
              </w:rPr>
              <w:t xml:space="preserve"> 2020.</w:t>
            </w:r>
          </w:p>
        </w:tc>
        <w:tc>
          <w:tcPr>
            <w:tcW w:w="1984" w:type="dxa"/>
          </w:tcPr>
          <w:p w:rsidR="007D216F" w:rsidRPr="00094AA0" w:rsidRDefault="001059E0">
            <w:pPr>
              <w:pStyle w:val="TableParagraph"/>
              <w:spacing w:line="228" w:lineRule="exact"/>
              <w:ind w:left="107"/>
              <w:rPr>
                <w:sz w:val="20"/>
                <w:szCs w:val="20"/>
              </w:rPr>
            </w:pPr>
            <w:r w:rsidRPr="00094AA0">
              <w:rPr>
                <w:sz w:val="20"/>
                <w:szCs w:val="20"/>
              </w:rPr>
              <w:t>Accepted</w:t>
            </w:r>
          </w:p>
        </w:tc>
      </w:tr>
      <w:tr w:rsidR="007D216F" w:rsidRPr="00094AA0">
        <w:trPr>
          <w:trHeight w:val="690"/>
        </w:trPr>
        <w:tc>
          <w:tcPr>
            <w:tcW w:w="674" w:type="dxa"/>
          </w:tcPr>
          <w:p w:rsidR="007D216F" w:rsidRPr="00094AA0" w:rsidRDefault="00094AA0">
            <w:pPr>
              <w:pStyle w:val="TableParagraph"/>
              <w:spacing w:line="225" w:lineRule="exact"/>
              <w:ind w:left="105"/>
              <w:rPr>
                <w:b/>
                <w:sz w:val="20"/>
                <w:szCs w:val="20"/>
              </w:rPr>
            </w:pPr>
            <w:r w:rsidRPr="00094AA0">
              <w:rPr>
                <w:b/>
                <w:sz w:val="20"/>
                <w:szCs w:val="20"/>
              </w:rPr>
              <w:t>6.1</w:t>
            </w:r>
          </w:p>
        </w:tc>
        <w:tc>
          <w:tcPr>
            <w:tcW w:w="3154" w:type="dxa"/>
          </w:tcPr>
          <w:p w:rsidR="007D216F" w:rsidRPr="00094AA0" w:rsidRDefault="00094AA0">
            <w:pPr>
              <w:pStyle w:val="TableParagraph"/>
              <w:spacing w:line="215" w:lineRule="exact"/>
              <w:rPr>
                <w:b/>
                <w:sz w:val="20"/>
                <w:szCs w:val="20"/>
              </w:rPr>
            </w:pPr>
            <w:r w:rsidRPr="00094AA0">
              <w:rPr>
                <w:b/>
                <w:sz w:val="20"/>
                <w:szCs w:val="20"/>
              </w:rPr>
              <w:t>Finance and Planning Report</w:t>
            </w:r>
          </w:p>
        </w:tc>
        <w:tc>
          <w:tcPr>
            <w:tcW w:w="4961" w:type="dxa"/>
          </w:tcPr>
          <w:p w:rsidR="007D216F" w:rsidRPr="00094AA0" w:rsidRDefault="001059E0" w:rsidP="00094AA0">
            <w:pPr>
              <w:pStyle w:val="TableParagraph"/>
              <w:ind w:left="106" w:right="161"/>
              <w:rPr>
                <w:sz w:val="20"/>
                <w:szCs w:val="20"/>
              </w:rPr>
            </w:pPr>
            <w:r w:rsidRPr="00094AA0">
              <w:rPr>
                <w:sz w:val="20"/>
                <w:szCs w:val="20"/>
              </w:rPr>
              <w:t xml:space="preserve">To </w:t>
            </w:r>
            <w:r w:rsidR="00094AA0" w:rsidRPr="00094AA0">
              <w:rPr>
                <w:sz w:val="20"/>
                <w:szCs w:val="20"/>
              </w:rPr>
              <w:t xml:space="preserve">approve the Section 75 variation to the 2020/21 Better Care Fund Section 75 agreement to formalize the hospital discharge </w:t>
            </w:r>
            <w:r w:rsidR="00094AA0" w:rsidRPr="00094AA0">
              <w:rPr>
                <w:sz w:val="20"/>
                <w:szCs w:val="20"/>
                <w:lang w:val="en-GB"/>
              </w:rPr>
              <w:t>programme</w:t>
            </w:r>
            <w:r w:rsidR="00094AA0" w:rsidRPr="00094AA0">
              <w:rPr>
                <w:sz w:val="20"/>
                <w:szCs w:val="20"/>
              </w:rPr>
              <w:t xml:space="preserve"> pooling arrangements</w:t>
            </w:r>
            <w:r w:rsidRPr="00094AA0">
              <w:rPr>
                <w:sz w:val="20"/>
                <w:szCs w:val="20"/>
              </w:rPr>
              <w:t>.</w:t>
            </w:r>
          </w:p>
        </w:tc>
        <w:tc>
          <w:tcPr>
            <w:tcW w:w="1984" w:type="dxa"/>
          </w:tcPr>
          <w:p w:rsidR="007D216F" w:rsidRPr="00094AA0" w:rsidRDefault="00094AA0">
            <w:pPr>
              <w:pStyle w:val="TableParagraph"/>
              <w:spacing w:line="227" w:lineRule="exact"/>
              <w:ind w:left="107"/>
              <w:rPr>
                <w:sz w:val="20"/>
                <w:szCs w:val="20"/>
              </w:rPr>
            </w:pPr>
            <w:r w:rsidRPr="00094AA0">
              <w:rPr>
                <w:sz w:val="20"/>
                <w:szCs w:val="20"/>
              </w:rPr>
              <w:t>Approved</w:t>
            </w:r>
          </w:p>
        </w:tc>
      </w:tr>
      <w:tr w:rsidR="007D216F" w:rsidRPr="00094AA0" w:rsidTr="00094AA0">
        <w:trPr>
          <w:trHeight w:val="1227"/>
        </w:trPr>
        <w:tc>
          <w:tcPr>
            <w:tcW w:w="674" w:type="dxa"/>
          </w:tcPr>
          <w:p w:rsidR="007D216F" w:rsidRPr="00094AA0" w:rsidRDefault="00094AA0">
            <w:pPr>
              <w:pStyle w:val="TableParagraph"/>
              <w:spacing w:line="225" w:lineRule="exact"/>
              <w:ind w:left="105"/>
              <w:rPr>
                <w:b/>
                <w:sz w:val="20"/>
                <w:szCs w:val="20"/>
              </w:rPr>
            </w:pPr>
            <w:r w:rsidRPr="00094AA0">
              <w:rPr>
                <w:b/>
                <w:sz w:val="20"/>
                <w:szCs w:val="20"/>
              </w:rPr>
              <w:t>8</w:t>
            </w:r>
            <w:r w:rsidR="001059E0" w:rsidRPr="00094AA0">
              <w:rPr>
                <w:b/>
                <w:sz w:val="20"/>
                <w:szCs w:val="20"/>
              </w:rPr>
              <w:t>.1</w:t>
            </w:r>
          </w:p>
        </w:tc>
        <w:tc>
          <w:tcPr>
            <w:tcW w:w="3154" w:type="dxa"/>
          </w:tcPr>
          <w:p w:rsidR="007D216F" w:rsidRPr="00094AA0" w:rsidRDefault="00094AA0">
            <w:pPr>
              <w:pStyle w:val="TableParagraph"/>
              <w:ind w:right="770"/>
              <w:rPr>
                <w:b/>
                <w:sz w:val="20"/>
                <w:szCs w:val="20"/>
              </w:rPr>
            </w:pPr>
            <w:r w:rsidRPr="00094AA0">
              <w:rPr>
                <w:b/>
                <w:sz w:val="20"/>
                <w:szCs w:val="20"/>
              </w:rPr>
              <w:t>Delegation to approve the Annual Report, Annual Governance Statement and Accounts 2020/21</w:t>
            </w:r>
          </w:p>
        </w:tc>
        <w:tc>
          <w:tcPr>
            <w:tcW w:w="4961" w:type="dxa"/>
          </w:tcPr>
          <w:p w:rsidR="007D216F" w:rsidRPr="00094AA0" w:rsidRDefault="00094AA0" w:rsidP="00094AA0">
            <w:pPr>
              <w:pStyle w:val="TableParagraph"/>
              <w:spacing w:line="212" w:lineRule="exact"/>
              <w:rPr>
                <w:sz w:val="20"/>
                <w:szCs w:val="20"/>
              </w:rPr>
            </w:pPr>
            <w:r w:rsidRPr="00094AA0">
              <w:rPr>
                <w:sz w:val="20"/>
                <w:szCs w:val="20"/>
              </w:rPr>
              <w:t>To delegate authority to the Audit Committee to approve the Annual Report and Accounts 2020/21 for NHS North Yorkshire CCG.</w:t>
            </w:r>
          </w:p>
        </w:tc>
        <w:tc>
          <w:tcPr>
            <w:tcW w:w="1984" w:type="dxa"/>
          </w:tcPr>
          <w:p w:rsidR="007D216F" w:rsidRPr="00094AA0" w:rsidRDefault="00712842">
            <w:pPr>
              <w:pStyle w:val="TableParagraph"/>
              <w:spacing w:line="227" w:lineRule="exact"/>
              <w:ind w:left="107"/>
              <w:rPr>
                <w:sz w:val="20"/>
                <w:szCs w:val="20"/>
              </w:rPr>
            </w:pPr>
            <w:r>
              <w:rPr>
                <w:sz w:val="20"/>
                <w:szCs w:val="20"/>
              </w:rPr>
              <w:t>Approved</w:t>
            </w:r>
          </w:p>
        </w:tc>
      </w:tr>
      <w:tr w:rsidR="007D216F" w:rsidRPr="00094AA0">
        <w:trPr>
          <w:trHeight w:val="604"/>
        </w:trPr>
        <w:tc>
          <w:tcPr>
            <w:tcW w:w="674" w:type="dxa"/>
          </w:tcPr>
          <w:p w:rsidR="007D216F" w:rsidRPr="00094AA0" w:rsidRDefault="00094AA0">
            <w:pPr>
              <w:pStyle w:val="TableParagraph"/>
              <w:spacing w:line="225" w:lineRule="exact"/>
              <w:ind w:left="105"/>
              <w:rPr>
                <w:b/>
                <w:sz w:val="20"/>
                <w:szCs w:val="20"/>
              </w:rPr>
            </w:pPr>
            <w:r>
              <w:rPr>
                <w:b/>
                <w:sz w:val="20"/>
                <w:szCs w:val="20"/>
              </w:rPr>
              <w:t>8.2</w:t>
            </w:r>
          </w:p>
        </w:tc>
        <w:tc>
          <w:tcPr>
            <w:tcW w:w="3154" w:type="dxa"/>
          </w:tcPr>
          <w:p w:rsidR="007D216F" w:rsidRPr="00094AA0" w:rsidRDefault="001059E0">
            <w:pPr>
              <w:pStyle w:val="TableParagraph"/>
              <w:ind w:right="382"/>
              <w:rPr>
                <w:b/>
                <w:sz w:val="20"/>
                <w:szCs w:val="20"/>
              </w:rPr>
            </w:pPr>
            <w:r w:rsidRPr="00094AA0">
              <w:rPr>
                <w:b/>
                <w:sz w:val="20"/>
                <w:szCs w:val="20"/>
              </w:rPr>
              <w:t>Governing Body Assurance Framework</w:t>
            </w:r>
            <w:r w:rsidR="00094AA0">
              <w:rPr>
                <w:b/>
                <w:sz w:val="20"/>
                <w:szCs w:val="20"/>
              </w:rPr>
              <w:t xml:space="preserve"> and Strategic Objectives</w:t>
            </w:r>
          </w:p>
        </w:tc>
        <w:tc>
          <w:tcPr>
            <w:tcW w:w="4961" w:type="dxa"/>
          </w:tcPr>
          <w:p w:rsidR="007D216F" w:rsidRPr="00094AA0" w:rsidRDefault="001059E0">
            <w:pPr>
              <w:pStyle w:val="TableParagraph"/>
              <w:ind w:left="106"/>
              <w:rPr>
                <w:sz w:val="20"/>
                <w:szCs w:val="20"/>
              </w:rPr>
            </w:pPr>
            <w:r w:rsidRPr="00094AA0">
              <w:rPr>
                <w:sz w:val="20"/>
                <w:szCs w:val="20"/>
              </w:rPr>
              <w:t xml:space="preserve">To </w:t>
            </w:r>
            <w:r w:rsidR="00094AA0">
              <w:rPr>
                <w:sz w:val="20"/>
                <w:szCs w:val="20"/>
              </w:rPr>
              <w:t xml:space="preserve">approve </w:t>
            </w:r>
            <w:r w:rsidR="00094AA0" w:rsidRPr="00094AA0">
              <w:rPr>
                <w:sz w:val="20"/>
                <w:szCs w:val="20"/>
              </w:rPr>
              <w:t>the Governing Bod</w:t>
            </w:r>
            <w:r w:rsidR="00094AA0">
              <w:rPr>
                <w:sz w:val="20"/>
                <w:szCs w:val="20"/>
              </w:rPr>
              <w:t>y Assurance Framework and agree</w:t>
            </w:r>
            <w:r w:rsidR="00094AA0" w:rsidRPr="00094AA0">
              <w:rPr>
                <w:sz w:val="20"/>
                <w:szCs w:val="20"/>
              </w:rPr>
              <w:t xml:space="preserve"> to make a recommendation to the Council of Members to approve the addition to the ‘Vulnerable People’ strategic objective.</w:t>
            </w:r>
          </w:p>
        </w:tc>
        <w:tc>
          <w:tcPr>
            <w:tcW w:w="1984" w:type="dxa"/>
          </w:tcPr>
          <w:p w:rsidR="007D216F" w:rsidRPr="00094AA0" w:rsidRDefault="001059E0">
            <w:pPr>
              <w:pStyle w:val="TableParagraph"/>
              <w:spacing w:line="227" w:lineRule="exact"/>
              <w:ind w:left="107"/>
              <w:rPr>
                <w:sz w:val="20"/>
                <w:szCs w:val="20"/>
              </w:rPr>
            </w:pPr>
            <w:r w:rsidRPr="00094AA0">
              <w:rPr>
                <w:sz w:val="20"/>
                <w:szCs w:val="20"/>
              </w:rPr>
              <w:t>Approved</w:t>
            </w:r>
          </w:p>
        </w:tc>
      </w:tr>
      <w:tr w:rsidR="007D216F" w:rsidRPr="00094AA0">
        <w:trPr>
          <w:trHeight w:val="280"/>
        </w:trPr>
        <w:tc>
          <w:tcPr>
            <w:tcW w:w="674" w:type="dxa"/>
          </w:tcPr>
          <w:p w:rsidR="007D216F" w:rsidRPr="00094AA0" w:rsidRDefault="001059E0">
            <w:pPr>
              <w:pStyle w:val="TableParagraph"/>
              <w:spacing w:line="225" w:lineRule="exact"/>
              <w:ind w:left="105"/>
              <w:rPr>
                <w:b/>
                <w:sz w:val="20"/>
                <w:szCs w:val="20"/>
              </w:rPr>
            </w:pPr>
            <w:r w:rsidRPr="00094AA0">
              <w:rPr>
                <w:b/>
                <w:sz w:val="20"/>
                <w:szCs w:val="20"/>
              </w:rPr>
              <w:t>8.2</w:t>
            </w:r>
          </w:p>
        </w:tc>
        <w:tc>
          <w:tcPr>
            <w:tcW w:w="3154" w:type="dxa"/>
          </w:tcPr>
          <w:p w:rsidR="007D216F" w:rsidRPr="00094AA0" w:rsidRDefault="00094AA0">
            <w:pPr>
              <w:pStyle w:val="TableParagraph"/>
              <w:spacing w:line="225" w:lineRule="exact"/>
              <w:rPr>
                <w:b/>
                <w:sz w:val="20"/>
                <w:szCs w:val="20"/>
              </w:rPr>
            </w:pPr>
            <w:r>
              <w:rPr>
                <w:b/>
                <w:sz w:val="20"/>
                <w:szCs w:val="20"/>
              </w:rPr>
              <w:t>Equality and Diversity Plan and Objectives</w:t>
            </w:r>
          </w:p>
        </w:tc>
        <w:tc>
          <w:tcPr>
            <w:tcW w:w="4961" w:type="dxa"/>
          </w:tcPr>
          <w:p w:rsidR="007D216F" w:rsidRPr="00094AA0" w:rsidRDefault="001059E0">
            <w:pPr>
              <w:pStyle w:val="TableParagraph"/>
              <w:spacing w:line="227" w:lineRule="exact"/>
              <w:ind w:left="106"/>
              <w:rPr>
                <w:sz w:val="20"/>
                <w:szCs w:val="20"/>
              </w:rPr>
            </w:pPr>
            <w:r w:rsidRPr="00094AA0">
              <w:rPr>
                <w:sz w:val="20"/>
                <w:szCs w:val="20"/>
              </w:rPr>
              <w:t xml:space="preserve">To </w:t>
            </w:r>
            <w:r w:rsidR="00094AA0">
              <w:rPr>
                <w:sz w:val="20"/>
                <w:szCs w:val="20"/>
              </w:rPr>
              <w:t xml:space="preserve">approve </w:t>
            </w:r>
            <w:r w:rsidR="00094AA0" w:rsidRPr="00094AA0">
              <w:rPr>
                <w:sz w:val="20"/>
                <w:szCs w:val="20"/>
              </w:rPr>
              <w:t>the Equality and Diversity Plan, including the objectives and action plan</w:t>
            </w:r>
            <w:r w:rsidRPr="00094AA0">
              <w:rPr>
                <w:sz w:val="20"/>
                <w:szCs w:val="20"/>
              </w:rPr>
              <w:t>.</w:t>
            </w:r>
          </w:p>
        </w:tc>
        <w:tc>
          <w:tcPr>
            <w:tcW w:w="1984" w:type="dxa"/>
          </w:tcPr>
          <w:p w:rsidR="007D216F" w:rsidRPr="00094AA0" w:rsidRDefault="001059E0">
            <w:pPr>
              <w:pStyle w:val="TableParagraph"/>
              <w:spacing w:line="227" w:lineRule="exact"/>
              <w:ind w:left="107"/>
              <w:rPr>
                <w:sz w:val="20"/>
                <w:szCs w:val="20"/>
              </w:rPr>
            </w:pPr>
            <w:r w:rsidRPr="00094AA0">
              <w:rPr>
                <w:sz w:val="20"/>
                <w:szCs w:val="20"/>
              </w:rPr>
              <w:t>Approved</w:t>
            </w:r>
          </w:p>
        </w:tc>
      </w:tr>
      <w:tr w:rsidR="007D216F" w:rsidRPr="00094AA0">
        <w:trPr>
          <w:trHeight w:val="3708"/>
        </w:trPr>
        <w:tc>
          <w:tcPr>
            <w:tcW w:w="674" w:type="dxa"/>
          </w:tcPr>
          <w:p w:rsidR="007D216F" w:rsidRPr="00094AA0" w:rsidRDefault="001059E0">
            <w:pPr>
              <w:pStyle w:val="TableParagraph"/>
              <w:spacing w:line="227" w:lineRule="exact"/>
              <w:ind w:left="105"/>
              <w:rPr>
                <w:b/>
                <w:sz w:val="20"/>
                <w:szCs w:val="20"/>
              </w:rPr>
            </w:pPr>
            <w:r w:rsidRPr="00094AA0">
              <w:rPr>
                <w:b/>
                <w:sz w:val="20"/>
                <w:szCs w:val="20"/>
              </w:rPr>
              <w:t>12.0</w:t>
            </w:r>
          </w:p>
        </w:tc>
        <w:tc>
          <w:tcPr>
            <w:tcW w:w="3154" w:type="dxa"/>
          </w:tcPr>
          <w:p w:rsidR="007D216F" w:rsidRPr="00094AA0" w:rsidRDefault="001059E0">
            <w:pPr>
              <w:pStyle w:val="TableParagraph"/>
              <w:spacing w:line="237" w:lineRule="auto"/>
              <w:ind w:right="104"/>
              <w:rPr>
                <w:b/>
                <w:sz w:val="20"/>
                <w:szCs w:val="20"/>
              </w:rPr>
            </w:pPr>
            <w:r w:rsidRPr="00094AA0">
              <w:rPr>
                <w:b/>
                <w:sz w:val="20"/>
                <w:szCs w:val="20"/>
              </w:rPr>
              <w:t>Close of Meeting: Exclusion of the Press and Public</w:t>
            </w:r>
          </w:p>
        </w:tc>
        <w:tc>
          <w:tcPr>
            <w:tcW w:w="4961" w:type="dxa"/>
          </w:tcPr>
          <w:p w:rsidR="007D216F" w:rsidRPr="00094AA0" w:rsidRDefault="001059E0">
            <w:pPr>
              <w:pStyle w:val="TableParagraph"/>
              <w:ind w:left="106"/>
              <w:rPr>
                <w:sz w:val="20"/>
                <w:szCs w:val="20"/>
              </w:rPr>
            </w:pPr>
            <w:r w:rsidRPr="00094AA0">
              <w:rPr>
                <w:sz w:val="20"/>
                <w:szCs w:val="20"/>
              </w:rPr>
              <w:t>The Governing Body is recommended to approve the following resolution:</w:t>
            </w:r>
          </w:p>
          <w:p w:rsidR="007D216F" w:rsidRPr="00094AA0" w:rsidRDefault="007D216F">
            <w:pPr>
              <w:pStyle w:val="TableParagraph"/>
              <w:spacing w:before="9"/>
              <w:ind w:left="0"/>
              <w:rPr>
                <w:b/>
                <w:sz w:val="20"/>
                <w:szCs w:val="20"/>
              </w:rPr>
            </w:pPr>
          </w:p>
          <w:p w:rsidR="007D216F" w:rsidRPr="00094AA0" w:rsidRDefault="001059E0">
            <w:pPr>
              <w:pStyle w:val="TableParagraph"/>
              <w:ind w:left="106" w:right="161"/>
              <w:rPr>
                <w:sz w:val="20"/>
                <w:szCs w:val="20"/>
              </w:rPr>
            </w:pPr>
            <w:r w:rsidRPr="00094AA0">
              <w:rPr>
                <w:sz w:val="20"/>
                <w:szCs w:val="20"/>
              </w:rPr>
              <w:t xml:space="preserve">That the press and public be excluded from the remainder of the meeting on the grounds </w:t>
            </w:r>
            <w:r w:rsidRPr="00094AA0">
              <w:rPr>
                <w:sz w:val="20"/>
                <w:szCs w:val="20"/>
              </w:rPr>
              <w:t>that publicity would be prejudicial to the public interest by reason of the confidential nature of the business to be transacted.</w:t>
            </w:r>
          </w:p>
          <w:p w:rsidR="007D216F" w:rsidRPr="00094AA0" w:rsidRDefault="007D216F">
            <w:pPr>
              <w:pStyle w:val="TableParagraph"/>
              <w:ind w:left="0"/>
              <w:rPr>
                <w:b/>
                <w:sz w:val="20"/>
                <w:szCs w:val="20"/>
              </w:rPr>
            </w:pPr>
          </w:p>
          <w:p w:rsidR="007D216F" w:rsidRPr="00094AA0" w:rsidRDefault="001059E0">
            <w:pPr>
              <w:pStyle w:val="TableParagraph"/>
              <w:spacing w:before="1"/>
              <w:ind w:left="106"/>
              <w:rPr>
                <w:sz w:val="20"/>
                <w:szCs w:val="20"/>
              </w:rPr>
            </w:pPr>
            <w:r w:rsidRPr="00094AA0">
              <w:rPr>
                <w:sz w:val="20"/>
                <w:szCs w:val="20"/>
              </w:rPr>
              <w:t>Reason:</w:t>
            </w:r>
          </w:p>
          <w:p w:rsidR="007D216F" w:rsidRPr="00094AA0" w:rsidRDefault="001059E0">
            <w:pPr>
              <w:pStyle w:val="TableParagraph"/>
              <w:numPr>
                <w:ilvl w:val="0"/>
                <w:numId w:val="1"/>
              </w:numPr>
              <w:tabs>
                <w:tab w:val="left" w:pos="282"/>
              </w:tabs>
              <w:spacing w:before="2"/>
              <w:ind w:right="591"/>
              <w:rPr>
                <w:sz w:val="20"/>
                <w:szCs w:val="20"/>
              </w:rPr>
            </w:pPr>
            <w:r w:rsidRPr="00094AA0">
              <w:rPr>
                <w:sz w:val="20"/>
                <w:szCs w:val="20"/>
              </w:rPr>
              <w:t>Information relating to any consultations or negotiations, or contemplated consultations</w:t>
            </w:r>
            <w:r w:rsidRPr="00094AA0">
              <w:rPr>
                <w:spacing w:val="-16"/>
                <w:sz w:val="20"/>
                <w:szCs w:val="20"/>
              </w:rPr>
              <w:t xml:space="preserve"> </w:t>
            </w:r>
            <w:r w:rsidRPr="00094AA0">
              <w:rPr>
                <w:sz w:val="20"/>
                <w:szCs w:val="20"/>
              </w:rPr>
              <w:t xml:space="preserve">or negotiations, in connection with any </w:t>
            </w:r>
            <w:proofErr w:type="spellStart"/>
            <w:r w:rsidRPr="00094AA0">
              <w:rPr>
                <w:sz w:val="20"/>
                <w:szCs w:val="20"/>
              </w:rPr>
              <w:t>labour</w:t>
            </w:r>
            <w:proofErr w:type="spellEnd"/>
            <w:r w:rsidRPr="00094AA0">
              <w:rPr>
                <w:sz w:val="20"/>
                <w:szCs w:val="20"/>
              </w:rPr>
              <w:t xml:space="preserve"> relations</w:t>
            </w:r>
            <w:r w:rsidRPr="00094AA0">
              <w:rPr>
                <w:spacing w:val="-1"/>
                <w:sz w:val="20"/>
                <w:szCs w:val="20"/>
              </w:rPr>
              <w:t xml:space="preserve"> </w:t>
            </w:r>
            <w:r w:rsidRPr="00094AA0">
              <w:rPr>
                <w:sz w:val="20"/>
                <w:szCs w:val="20"/>
              </w:rPr>
              <w:t>matter.</w:t>
            </w:r>
          </w:p>
          <w:p w:rsidR="007D216F" w:rsidRPr="00094AA0" w:rsidRDefault="001059E0">
            <w:pPr>
              <w:pStyle w:val="TableParagraph"/>
              <w:numPr>
                <w:ilvl w:val="0"/>
                <w:numId w:val="1"/>
              </w:numPr>
              <w:tabs>
                <w:tab w:val="left" w:pos="282"/>
              </w:tabs>
              <w:spacing w:line="228" w:lineRule="exact"/>
              <w:ind w:right="480"/>
              <w:rPr>
                <w:sz w:val="20"/>
                <w:szCs w:val="20"/>
              </w:rPr>
            </w:pPr>
            <w:r w:rsidRPr="00094AA0">
              <w:rPr>
                <w:sz w:val="20"/>
                <w:szCs w:val="20"/>
              </w:rPr>
              <w:t>Information which is subject to any obligation</w:t>
            </w:r>
            <w:r w:rsidRPr="00094AA0">
              <w:rPr>
                <w:spacing w:val="-13"/>
                <w:sz w:val="20"/>
                <w:szCs w:val="20"/>
              </w:rPr>
              <w:t xml:space="preserve"> </w:t>
            </w:r>
            <w:r w:rsidRPr="00094AA0">
              <w:rPr>
                <w:sz w:val="20"/>
                <w:szCs w:val="20"/>
              </w:rPr>
              <w:t>of confidentiality.</w:t>
            </w:r>
          </w:p>
        </w:tc>
        <w:tc>
          <w:tcPr>
            <w:tcW w:w="1984" w:type="dxa"/>
          </w:tcPr>
          <w:p w:rsidR="007D216F" w:rsidRPr="00094AA0" w:rsidRDefault="001059E0">
            <w:pPr>
              <w:pStyle w:val="TableParagraph"/>
              <w:spacing w:line="229" w:lineRule="exact"/>
              <w:ind w:left="107"/>
              <w:rPr>
                <w:sz w:val="20"/>
                <w:szCs w:val="20"/>
              </w:rPr>
            </w:pPr>
            <w:r w:rsidRPr="00094AA0">
              <w:rPr>
                <w:sz w:val="20"/>
                <w:szCs w:val="20"/>
              </w:rPr>
              <w:t>Approved</w:t>
            </w:r>
          </w:p>
        </w:tc>
      </w:tr>
    </w:tbl>
    <w:p w:rsidR="007D216F" w:rsidRDefault="007D216F">
      <w:pPr>
        <w:rPr>
          <w:b/>
          <w:sz w:val="20"/>
        </w:rPr>
      </w:pPr>
    </w:p>
    <w:p w:rsidR="007D216F" w:rsidRDefault="007D216F">
      <w:pPr>
        <w:rPr>
          <w:b/>
          <w:sz w:val="20"/>
        </w:rPr>
      </w:pPr>
    </w:p>
    <w:p w:rsidR="007D216F" w:rsidRDefault="007D216F">
      <w:pPr>
        <w:rPr>
          <w:b/>
          <w:sz w:val="20"/>
        </w:rPr>
      </w:pPr>
    </w:p>
    <w:p w:rsidR="007D216F" w:rsidRDefault="007D216F">
      <w:pPr>
        <w:rPr>
          <w:b/>
          <w:sz w:val="20"/>
        </w:rPr>
      </w:pPr>
    </w:p>
    <w:p w:rsidR="007D216F" w:rsidRDefault="007D216F">
      <w:pPr>
        <w:rPr>
          <w:b/>
          <w:sz w:val="20"/>
        </w:rPr>
      </w:pPr>
    </w:p>
    <w:p w:rsidR="007D216F" w:rsidRDefault="007D216F">
      <w:pPr>
        <w:rPr>
          <w:b/>
          <w:sz w:val="20"/>
        </w:rPr>
      </w:pPr>
    </w:p>
    <w:p w:rsidR="007D216F" w:rsidRDefault="001059E0">
      <w:pPr>
        <w:spacing w:before="5"/>
        <w:rPr>
          <w:b/>
          <w:sz w:val="13"/>
        </w:rPr>
      </w:pPr>
      <w:r>
        <w:pict>
          <v:group id="_x0000_s1026" style="position:absolute;margin-left:37.2pt;margin-top:9.65pt;width:521.3pt;height:17.9pt;z-index:-251657216;mso-wrap-distance-left:0;mso-wrap-distance-right:0;mso-position-horizontal-relative:page" coordorigin="744,193" coordsize="10426,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617;top:336;width:125;height:149">
              <v:imagedata r:id="rId8" o:title=""/>
            </v:shape>
            <v:shape id="_x0000_s1028" style="position:absolute;left:744;top:193;width:10426;height:358" coordorigin="744,193" coordsize="10426,358" path="m11169,193r-9323,l1803,193r-1059,l744,237r1059,l1803,239r,312l1846,551r,-312l1846,237r9323,l11169,193xe" fillcolor="gray" stroked="f">
              <v:path arrowok="t"/>
            </v:shape>
            <v:shapetype id="_x0000_t202" coordsize="21600,21600" o:spt="202" path="m,l,21600r21600,l21600,xe">
              <v:stroke joinstyle="miter"/>
              <v:path gradientshapeok="t" o:connecttype="rect"/>
            </v:shapetype>
            <v:shape id="_x0000_s1027" type="#_x0000_t202" style="position:absolute;left:744;top:193;width:10426;height:358" filled="f" stroked="f">
              <v:textbox inset="0,0,0,0">
                <w:txbxContent>
                  <w:p w:rsidR="007D216F" w:rsidRDefault="001059E0">
                    <w:pPr>
                      <w:tabs>
                        <w:tab w:val="left" w:pos="1188"/>
                      </w:tabs>
                      <w:spacing w:before="42"/>
                      <w:ind w:left="862"/>
                      <w:rPr>
                        <w:rFonts w:ascii="Calibri" w:hAnsi="Calibri"/>
                      </w:rPr>
                    </w:pPr>
                    <w:r>
                      <w:rPr>
                        <w:rFonts w:ascii="Calibri" w:hAnsi="Calibri"/>
                        <w:b/>
                        <w:color w:val="4F81BC"/>
                      </w:rPr>
                      <w:t>1</w:t>
                    </w:r>
                    <w:r>
                      <w:rPr>
                        <w:rFonts w:ascii="Calibri" w:hAnsi="Calibri"/>
                        <w:b/>
                        <w:color w:val="4F81BC"/>
                      </w:rPr>
                      <w:tab/>
                    </w:r>
                    <w:r>
                      <w:rPr>
                        <w:rFonts w:ascii="Calibri" w:hAnsi="Calibri"/>
                        <w:position w:val="1"/>
                      </w:rPr>
                      <w:t xml:space="preserve">NY CCG Governing Body – Decisions – </w:t>
                    </w:r>
                    <w:r w:rsidR="00094AA0">
                      <w:rPr>
                        <w:rFonts w:ascii="Calibri" w:hAnsi="Calibri"/>
                        <w:position w:val="1"/>
                      </w:rPr>
                      <w:t>25 February 2021</w:t>
                    </w:r>
                  </w:p>
                </w:txbxContent>
              </v:textbox>
            </v:shape>
            <w10:wrap type="topAndBottom" anchorx="page"/>
          </v:group>
        </w:pict>
      </w:r>
    </w:p>
    <w:sectPr w:rsidR="007D216F">
      <w:type w:val="continuous"/>
      <w:pgSz w:w="11910" w:h="16840"/>
      <w:pgMar w:top="360" w:right="420" w:bottom="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429A2"/>
    <w:multiLevelType w:val="hybridMultilevel"/>
    <w:tmpl w:val="DEEEDDDC"/>
    <w:lvl w:ilvl="0" w:tplc="C6B45ACA">
      <w:numFmt w:val="bullet"/>
      <w:lvlText w:val=""/>
      <w:lvlJc w:val="left"/>
      <w:pPr>
        <w:ind w:left="281" w:hanging="176"/>
      </w:pPr>
      <w:rPr>
        <w:rFonts w:ascii="Symbol" w:eastAsia="Symbol" w:hAnsi="Symbol" w:cs="Symbol" w:hint="default"/>
        <w:w w:val="99"/>
        <w:sz w:val="20"/>
        <w:szCs w:val="20"/>
        <w:lang w:val="en-US" w:eastAsia="en-US" w:bidi="ar-SA"/>
      </w:rPr>
    </w:lvl>
    <w:lvl w:ilvl="1" w:tplc="584A7DCC">
      <w:numFmt w:val="bullet"/>
      <w:lvlText w:val="•"/>
      <w:lvlJc w:val="left"/>
      <w:pPr>
        <w:ind w:left="747" w:hanging="176"/>
      </w:pPr>
      <w:rPr>
        <w:rFonts w:hint="default"/>
        <w:lang w:val="en-US" w:eastAsia="en-US" w:bidi="ar-SA"/>
      </w:rPr>
    </w:lvl>
    <w:lvl w:ilvl="2" w:tplc="A2DA3774">
      <w:numFmt w:val="bullet"/>
      <w:lvlText w:val="•"/>
      <w:lvlJc w:val="left"/>
      <w:pPr>
        <w:ind w:left="1214" w:hanging="176"/>
      </w:pPr>
      <w:rPr>
        <w:rFonts w:hint="default"/>
        <w:lang w:val="en-US" w:eastAsia="en-US" w:bidi="ar-SA"/>
      </w:rPr>
    </w:lvl>
    <w:lvl w:ilvl="3" w:tplc="E8EE6EF6">
      <w:numFmt w:val="bullet"/>
      <w:lvlText w:val="•"/>
      <w:lvlJc w:val="left"/>
      <w:pPr>
        <w:ind w:left="1681" w:hanging="176"/>
      </w:pPr>
      <w:rPr>
        <w:rFonts w:hint="default"/>
        <w:lang w:val="en-US" w:eastAsia="en-US" w:bidi="ar-SA"/>
      </w:rPr>
    </w:lvl>
    <w:lvl w:ilvl="4" w:tplc="3E361F1E">
      <w:numFmt w:val="bullet"/>
      <w:lvlText w:val="•"/>
      <w:lvlJc w:val="left"/>
      <w:pPr>
        <w:ind w:left="2148" w:hanging="176"/>
      </w:pPr>
      <w:rPr>
        <w:rFonts w:hint="default"/>
        <w:lang w:val="en-US" w:eastAsia="en-US" w:bidi="ar-SA"/>
      </w:rPr>
    </w:lvl>
    <w:lvl w:ilvl="5" w:tplc="2F6A4B18">
      <w:numFmt w:val="bullet"/>
      <w:lvlText w:val="•"/>
      <w:lvlJc w:val="left"/>
      <w:pPr>
        <w:ind w:left="2615" w:hanging="176"/>
      </w:pPr>
      <w:rPr>
        <w:rFonts w:hint="default"/>
        <w:lang w:val="en-US" w:eastAsia="en-US" w:bidi="ar-SA"/>
      </w:rPr>
    </w:lvl>
    <w:lvl w:ilvl="6" w:tplc="678E455C">
      <w:numFmt w:val="bullet"/>
      <w:lvlText w:val="•"/>
      <w:lvlJc w:val="left"/>
      <w:pPr>
        <w:ind w:left="3082" w:hanging="176"/>
      </w:pPr>
      <w:rPr>
        <w:rFonts w:hint="default"/>
        <w:lang w:val="en-US" w:eastAsia="en-US" w:bidi="ar-SA"/>
      </w:rPr>
    </w:lvl>
    <w:lvl w:ilvl="7" w:tplc="701A0B52">
      <w:numFmt w:val="bullet"/>
      <w:lvlText w:val="•"/>
      <w:lvlJc w:val="left"/>
      <w:pPr>
        <w:ind w:left="3549" w:hanging="176"/>
      </w:pPr>
      <w:rPr>
        <w:rFonts w:hint="default"/>
        <w:lang w:val="en-US" w:eastAsia="en-US" w:bidi="ar-SA"/>
      </w:rPr>
    </w:lvl>
    <w:lvl w:ilvl="8" w:tplc="AD089A3C">
      <w:numFmt w:val="bullet"/>
      <w:lvlText w:val="•"/>
      <w:lvlJc w:val="left"/>
      <w:pPr>
        <w:ind w:left="4016" w:hanging="176"/>
      </w:pPr>
      <w:rPr>
        <w:rFonts w:hint="default"/>
        <w:lang w:val="en-US" w:eastAsia="en-US" w:bidi="ar-SA"/>
      </w:rPr>
    </w:lvl>
  </w:abstractNum>
  <w:abstractNum w:abstractNumId="1">
    <w:nsid w:val="3576320B"/>
    <w:multiLevelType w:val="hybridMultilevel"/>
    <w:tmpl w:val="F760D416"/>
    <w:lvl w:ilvl="0" w:tplc="F876603A">
      <w:numFmt w:val="bullet"/>
      <w:lvlText w:val=""/>
      <w:lvlJc w:val="left"/>
      <w:pPr>
        <w:ind w:left="281" w:hanging="176"/>
      </w:pPr>
      <w:rPr>
        <w:rFonts w:ascii="Symbol" w:eastAsia="Symbol" w:hAnsi="Symbol" w:cs="Symbol" w:hint="default"/>
        <w:w w:val="99"/>
        <w:sz w:val="20"/>
        <w:szCs w:val="20"/>
        <w:lang w:val="en-US" w:eastAsia="en-US" w:bidi="ar-SA"/>
      </w:rPr>
    </w:lvl>
    <w:lvl w:ilvl="1" w:tplc="035C3266">
      <w:numFmt w:val="bullet"/>
      <w:lvlText w:val="•"/>
      <w:lvlJc w:val="left"/>
      <w:pPr>
        <w:ind w:left="747" w:hanging="176"/>
      </w:pPr>
      <w:rPr>
        <w:rFonts w:hint="default"/>
        <w:lang w:val="en-US" w:eastAsia="en-US" w:bidi="ar-SA"/>
      </w:rPr>
    </w:lvl>
    <w:lvl w:ilvl="2" w:tplc="EF90015A">
      <w:numFmt w:val="bullet"/>
      <w:lvlText w:val="•"/>
      <w:lvlJc w:val="left"/>
      <w:pPr>
        <w:ind w:left="1214" w:hanging="176"/>
      </w:pPr>
      <w:rPr>
        <w:rFonts w:hint="default"/>
        <w:lang w:val="en-US" w:eastAsia="en-US" w:bidi="ar-SA"/>
      </w:rPr>
    </w:lvl>
    <w:lvl w:ilvl="3" w:tplc="38D2408E">
      <w:numFmt w:val="bullet"/>
      <w:lvlText w:val="•"/>
      <w:lvlJc w:val="left"/>
      <w:pPr>
        <w:ind w:left="1681" w:hanging="176"/>
      </w:pPr>
      <w:rPr>
        <w:rFonts w:hint="default"/>
        <w:lang w:val="en-US" w:eastAsia="en-US" w:bidi="ar-SA"/>
      </w:rPr>
    </w:lvl>
    <w:lvl w:ilvl="4" w:tplc="EBF00F42">
      <w:numFmt w:val="bullet"/>
      <w:lvlText w:val="•"/>
      <w:lvlJc w:val="left"/>
      <w:pPr>
        <w:ind w:left="2148" w:hanging="176"/>
      </w:pPr>
      <w:rPr>
        <w:rFonts w:hint="default"/>
        <w:lang w:val="en-US" w:eastAsia="en-US" w:bidi="ar-SA"/>
      </w:rPr>
    </w:lvl>
    <w:lvl w:ilvl="5" w:tplc="A6EAFF42">
      <w:numFmt w:val="bullet"/>
      <w:lvlText w:val="•"/>
      <w:lvlJc w:val="left"/>
      <w:pPr>
        <w:ind w:left="2615" w:hanging="176"/>
      </w:pPr>
      <w:rPr>
        <w:rFonts w:hint="default"/>
        <w:lang w:val="en-US" w:eastAsia="en-US" w:bidi="ar-SA"/>
      </w:rPr>
    </w:lvl>
    <w:lvl w:ilvl="6" w:tplc="3878B8C6">
      <w:numFmt w:val="bullet"/>
      <w:lvlText w:val="•"/>
      <w:lvlJc w:val="left"/>
      <w:pPr>
        <w:ind w:left="3082" w:hanging="176"/>
      </w:pPr>
      <w:rPr>
        <w:rFonts w:hint="default"/>
        <w:lang w:val="en-US" w:eastAsia="en-US" w:bidi="ar-SA"/>
      </w:rPr>
    </w:lvl>
    <w:lvl w:ilvl="7" w:tplc="14DECFC0">
      <w:numFmt w:val="bullet"/>
      <w:lvlText w:val="•"/>
      <w:lvlJc w:val="left"/>
      <w:pPr>
        <w:ind w:left="3549" w:hanging="176"/>
      </w:pPr>
      <w:rPr>
        <w:rFonts w:hint="default"/>
        <w:lang w:val="en-US" w:eastAsia="en-US" w:bidi="ar-SA"/>
      </w:rPr>
    </w:lvl>
    <w:lvl w:ilvl="8" w:tplc="8B827E02">
      <w:numFmt w:val="bullet"/>
      <w:lvlText w:val="•"/>
      <w:lvlJc w:val="left"/>
      <w:pPr>
        <w:ind w:left="4016" w:hanging="176"/>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D216F"/>
    <w:rsid w:val="00094AA0"/>
    <w:rsid w:val="00712842"/>
    <w:rsid w:val="007D2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nyccg.enquirie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Sencier</dc:creator>
  <cp:lastModifiedBy>Tanja Entwistle</cp:lastModifiedBy>
  <cp:revision>3</cp:revision>
  <dcterms:created xsi:type="dcterms:W3CDTF">2021-02-26T12:52:00Z</dcterms:created>
  <dcterms:modified xsi:type="dcterms:W3CDTF">2021-02-26T13:05:00Z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Creator">
    <vt:lpwstr>Microsoft® Word 2010</vt:lpwstr>
  </property>
  <property fmtid="{D5CDD505-2E9C-101B-9397-08002B2CF9AE}" pid="4" name="LastSaved">
    <vt:filetime>2021-02-26T00:00:00Z</vt:filetime>
  </property>
</Properties>
</file>